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.jpeg" ContentType="image/jpeg"/>
  <Override PartName="/word/media/image1.png" ContentType="image/png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bidi w:val="0"/>
        <w:spacing w:lineRule="auto" w:line="276" w:before="0" w:after="0"/>
        <w:jc w:val="left"/>
        <w:rPr>
          <w:rFonts w:ascii="Helvetica" w:hAnsi="Helvetica"/>
        </w:rPr>
      </w:pPr>
      <w:r>
        <w:rPr>
          <w:rFonts w:ascii="Helvetica" w:hAnsi="Helvetica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1315085" cy="292735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9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spacing w:lineRule="auto" w:line="276" w:before="0" w:after="0"/>
        <w:jc w:val="left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Helvetica" w:hAnsi="Helvetica" w:cs="Sylfaen"/>
          <w:b/>
          <w:b/>
          <w:bCs/>
          <w:highlight w:val="lightGray"/>
        </w:rPr>
      </w:pPr>
      <w:r>
        <w:rPr>
          <w:rFonts w:cs="Sylfaen" w:ascii="Helvetica" w:hAnsi="Helvetica"/>
          <w:b/>
          <w:bCs/>
          <w:highlight w:val="lightGray"/>
        </w:rPr>
      </w:r>
    </w:p>
    <w:p>
      <w:pPr>
        <w:pStyle w:val="Normal"/>
        <w:bidi w:val="0"/>
        <w:spacing w:lineRule="auto" w:line="276" w:before="0" w:after="0"/>
        <w:jc w:val="left"/>
        <w:rPr>
          <w:rFonts w:ascii="Helvetica" w:hAnsi="Helvetica"/>
        </w:rPr>
      </w:pPr>
      <w:r>
        <w:rPr>
          <w:rFonts w:cs="Sylfaen" w:ascii="Helvetica" w:hAnsi="Helvetica"/>
          <w:b/>
          <w:bCs/>
          <w:highlight w:val="lightGray"/>
        </w:rPr>
        <w:t xml:space="preserve">COMMUNIQUÉ </w:t>
        <w:tab/>
        <w:tab/>
        <w:tab/>
        <w:tab/>
        <w:tab/>
        <w:tab/>
        <w:t xml:space="preserve">                </w:t>
      </w:r>
      <w:r>
        <w:rPr>
          <w:rFonts w:cs="Sylfaen" w:ascii="Helvetica" w:hAnsi="Helvetica"/>
          <w:b w:val="false"/>
          <w:bCs w:val="false"/>
          <w:highlight w:val="lightGray"/>
        </w:rPr>
        <w:t xml:space="preserve">Breuillet, le </w:t>
      </w:r>
      <w:r>
        <w:rPr>
          <w:rFonts w:cs="Sylfaen" w:ascii="Helvetica" w:hAnsi="Helvetica"/>
          <w:b w:val="false"/>
          <w:bCs w:val="false"/>
          <w:highlight w:val="lightGray"/>
        </w:rPr>
        <w:t>11</w:t>
      </w:r>
      <w:r>
        <w:rPr>
          <w:rFonts w:cs="Sylfaen" w:ascii="Helvetica" w:hAnsi="Helvetica"/>
          <w:b w:val="false"/>
          <w:bCs w:val="false"/>
          <w:highlight w:val="lightGray"/>
        </w:rPr>
        <w:t xml:space="preserve"> </w:t>
      </w:r>
      <w:r>
        <w:rPr>
          <w:rFonts w:cs="Sylfaen" w:ascii="Helvetica" w:hAnsi="Helvetica"/>
          <w:b w:val="false"/>
          <w:bCs w:val="false"/>
          <w:highlight w:val="lightGray"/>
        </w:rPr>
        <w:t>janvier</w:t>
      </w:r>
      <w:r>
        <w:rPr>
          <w:rFonts w:cs="Sylfaen" w:ascii="Helvetica" w:hAnsi="Helvetica"/>
          <w:b w:val="false"/>
          <w:bCs w:val="false"/>
          <w:highlight w:val="lightGray"/>
        </w:rPr>
        <w:t xml:space="preserve"> 201</w:t>
      </w:r>
      <w:r>
        <w:rPr>
          <w:rFonts w:cs="Sylfaen" w:ascii="Helvetica" w:hAnsi="Helvetica"/>
          <w:b w:val="false"/>
          <w:bCs w:val="false"/>
          <w:highlight w:val="lightGray"/>
        </w:rPr>
        <w:t>8</w:t>
      </w:r>
    </w:p>
    <w:p>
      <w:pPr>
        <w:pStyle w:val="Normal"/>
        <w:bidi w:val="0"/>
        <w:spacing w:lineRule="auto" w:line="276" w:before="0" w:after="0"/>
        <w:jc w:val="left"/>
        <w:rPr>
          <w:rFonts w:ascii="Helvetica" w:hAnsi="Helvetica" w:cs="Sylfaen"/>
          <w:b w:val="false"/>
          <w:b w:val="false"/>
          <w:bCs w:val="false"/>
        </w:rPr>
      </w:pPr>
      <w:r>
        <w:rPr>
          <w:rFonts w:cs="Sylfaen" w:ascii="Helvetica" w:hAnsi="Helvetica"/>
          <w:b w:val="false"/>
          <w:bCs w:val="false"/>
        </w:rPr>
      </w:r>
    </w:p>
    <w:p>
      <w:pPr>
        <w:pStyle w:val="Titre1"/>
        <w:numPr>
          <w:ilvl w:val="0"/>
          <w:numId w:val="2"/>
        </w:numPr>
        <w:bidi w:val="0"/>
        <w:spacing w:lineRule="auto" w:line="276" w:before="0" w:after="0"/>
        <w:ind w:left="0" w:right="0" w:hanging="0"/>
        <w:jc w:val="center"/>
        <w:rPr>
          <w:rFonts w:ascii="Helvetica" w:hAnsi="Helvetica"/>
        </w:rPr>
      </w:pPr>
      <w:r>
        <w:rPr>
          <w:rFonts w:cs="Sylfaen" w:ascii="Helvetica" w:hAnsi="Helvetica"/>
          <w:b/>
          <w:bCs/>
        </w:rPr>
        <w:t>Livre 1031 citations sur la musique</w:t>
      </w:r>
    </w:p>
    <w:p>
      <w:pPr>
        <w:pStyle w:val="Corpsdetexte"/>
        <w:bidi w:val="0"/>
        <w:spacing w:lineRule="auto" w:line="276" w:before="0" w:after="0"/>
        <w:jc w:val="center"/>
        <w:rPr>
          <w:rFonts w:ascii="Helvetica" w:hAnsi="Helvetica"/>
        </w:rPr>
      </w:pPr>
      <w:r>
        <w:rPr>
          <w:rFonts w:cs="Sylfaen" w:ascii="Helvetica" w:hAnsi="Helvetica"/>
          <w:b/>
          <w:bCs/>
          <w:sz w:val="32"/>
          <w:szCs w:val="32"/>
        </w:rPr>
        <w:t>Point Presse</w:t>
      </w:r>
    </w:p>
    <w:p>
      <w:pPr>
        <w:pStyle w:val="Normal"/>
        <w:bidi w:val="0"/>
        <w:spacing w:lineRule="auto" w:line="276" w:before="0" w:after="0"/>
        <w:jc w:val="both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Normal"/>
        <w:bidi w:val="0"/>
        <w:spacing w:lineRule="auto" w:line="276" w:before="0" w:after="0"/>
        <w:jc w:val="both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Titre5"/>
        <w:numPr>
          <w:ilvl w:val="4"/>
          <w:numId w:val="2"/>
        </w:numPr>
        <w:bidi w:val="0"/>
        <w:spacing w:lineRule="auto" w:line="276" w:before="0" w:after="0"/>
        <w:ind w:left="0" w:right="0" w:hanging="0"/>
        <w:jc w:val="center"/>
        <w:rPr>
          <w:rFonts w:ascii="Helvetica" w:hAnsi="Helvetica"/>
          <w:sz w:val="28"/>
          <w:szCs w:val="28"/>
        </w:rPr>
      </w:pPr>
      <w:r>
        <w:rPr>
          <w:rFonts w:cs="Sylfaen" w:ascii="Helvetica" w:hAnsi="Helvetica"/>
          <w:b w:val="false"/>
          <w:bCs w:val="false"/>
          <w:i w:val="false"/>
          <w:iCs w:val="false"/>
          <w:color w:val="00000A"/>
          <w:sz w:val="28"/>
          <w:szCs w:val="28"/>
          <w:u w:val="none"/>
        </w:rPr>
        <w:t>À l’occasion de la prochaine dédicace, un point presse vous est proposé</w:t>
      </w:r>
    </w:p>
    <w:p>
      <w:pPr>
        <w:pStyle w:val="Corpsdetexte"/>
        <w:widowControl/>
        <w:numPr>
          <w:ilvl w:val="4"/>
          <w:numId w:val="2"/>
        </w:numPr>
        <w:suppressAutoHyphens w:val="true"/>
        <w:overflowPunct w:val="true"/>
        <w:bidi w:val="0"/>
        <w:spacing w:lineRule="auto" w:line="276" w:before="0" w:after="0"/>
        <w:ind w:left="0" w:right="0" w:hanging="0"/>
        <w:jc w:val="center"/>
        <w:rPr>
          <w:rFonts w:ascii="Helvetica" w:hAnsi="Helvetica"/>
          <w:b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</w:r>
    </w:p>
    <w:p>
      <w:pPr>
        <w:pStyle w:val="Corpsdetexte"/>
        <w:widowControl/>
        <w:numPr>
          <w:ilvl w:val="4"/>
          <w:numId w:val="2"/>
        </w:numPr>
        <w:suppressAutoHyphens w:val="true"/>
        <w:overflowPunct w:val="true"/>
        <w:bidi w:val="0"/>
        <w:spacing w:lineRule="auto" w:line="276" w:before="0" w:after="0"/>
        <w:ind w:left="0" w:right="0" w:hanging="0"/>
        <w:jc w:val="center"/>
        <w:rPr>
          <w:rFonts w:ascii="Helvetica" w:hAnsi="Helvetica"/>
          <w:b/>
          <w:b/>
          <w:bCs/>
          <w:sz w:val="32"/>
          <w:szCs w:val="32"/>
        </w:rPr>
      </w:pPr>
      <w:r>
        <w:rPr>
          <w:rFonts w:ascii="Helvetica" w:hAnsi="Helvetica"/>
          <w:b/>
          <w:bCs/>
          <w:sz w:val="32"/>
          <w:szCs w:val="32"/>
        </w:rPr>
        <w:t>Vendredi 19 janvier 2018 à 11h00</w:t>
      </w:r>
    </w:p>
    <w:p>
      <w:pPr>
        <w:pStyle w:val="Titre5"/>
        <w:numPr>
          <w:ilvl w:val="4"/>
          <w:numId w:val="2"/>
        </w:numPr>
        <w:bidi w:val="0"/>
        <w:spacing w:lineRule="auto" w:line="276" w:before="0" w:after="0"/>
        <w:ind w:left="0" w:right="0" w:hanging="0"/>
        <w:jc w:val="center"/>
        <w:rPr>
          <w:rFonts w:ascii="Helvetica" w:hAnsi="Helvetica"/>
        </w:rPr>
      </w:pPr>
      <w:r>
        <w:rPr>
          <w:rFonts w:cs="Sylfaen" w:ascii="Helvetica" w:hAnsi="Helvetica"/>
          <w:b w:val="false"/>
          <w:bCs w:val="false"/>
          <w:i w:val="false"/>
          <w:iCs w:val="false"/>
          <w:color w:val="00000A"/>
          <w:sz w:val="32"/>
          <w:szCs w:val="32"/>
          <w:u w:val="none"/>
        </w:rPr>
        <w:t>Librairie À Livr’Ouvert – Paris 11</w:t>
      </w:r>
    </w:p>
    <w:p>
      <w:pPr>
        <w:pStyle w:val="Corpsdetexte"/>
        <w:bidi w:val="0"/>
        <w:spacing w:lineRule="auto" w:line="276" w:before="0" w:after="0"/>
        <w:jc w:val="both"/>
        <w:rPr>
          <w:rFonts w:ascii="Helvetica" w:hAnsi="Helvetica" w:cs="Sylfae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/>
        </w:rPr>
      </w:pPr>
      <w:r>
        <w:rPr>
          <w:rFonts w:cs="Sylfaen" w:ascii="Helvetica" w:hAnsi="Helvetica"/>
          <w:b w:val="false"/>
          <w:bCs w:val="false"/>
          <w:i w:val="false"/>
          <w:iCs w:val="false"/>
          <w:color w:val="00000A"/>
          <w:sz w:val="24"/>
          <w:szCs w:val="24"/>
          <w:u w:val="none"/>
        </w:rPr>
      </w:r>
    </w:p>
    <w:p>
      <w:pPr>
        <w:pStyle w:val="Corpsdetexte"/>
        <w:bidi w:val="0"/>
        <w:spacing w:lineRule="auto" w:line="276" w:before="0" w:after="0"/>
        <w:jc w:val="both"/>
        <w:rPr>
          <w:rFonts w:ascii="Helvetica" w:hAnsi="Helvetica" w:cs="Sylfaen"/>
          <w:b w:val="false"/>
          <w:b w:val="false"/>
          <w:bCs w:val="false"/>
          <w:i w:val="false"/>
          <w:i w:val="false"/>
          <w:iCs w:val="false"/>
          <w:color w:val="00000A"/>
          <w:sz w:val="24"/>
          <w:szCs w:val="24"/>
          <w:u w:val="none"/>
        </w:rPr>
      </w:pPr>
      <w:r>
        <w:rPr>
          <w:rFonts w:cs="Sylfaen" w:ascii="Helvetica" w:hAnsi="Helvetica"/>
          <w:b w:val="false"/>
          <w:bCs w:val="false"/>
          <w:i w:val="false"/>
          <w:iCs w:val="false"/>
          <w:color w:val="00000A"/>
          <w:sz w:val="24"/>
          <w:szCs w:val="24"/>
          <w:u w:val="none"/>
        </w:rPr>
      </w:r>
    </w:p>
    <w:p>
      <w:pPr>
        <w:pStyle w:val="Corpsdetexte"/>
        <w:bidi w:val="0"/>
        <w:spacing w:lineRule="auto" w:line="276"/>
        <w:jc w:val="both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3347720" cy="4689475"/>
            <wp:effectExtent l="0" t="0" r="0" b="0"/>
            <wp:wrapSquare wrapText="bothSides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468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Helvetica" w:hAnsi="Helvetica"/>
        </w:rPr>
        <w:t xml:space="preserve">Fruit d’un travail musicologique de plus de 30 années, cet ouvrage recense par </w:t>
      </w:r>
      <w:r>
        <w:rPr>
          <w:rStyle w:val="Accentuationforte"/>
          <w:rFonts w:ascii="Helvetica" w:hAnsi="Helvetica"/>
        </w:rPr>
        <w:t>auteurs</w:t>
      </w:r>
      <w:r>
        <w:rPr>
          <w:rFonts w:ascii="Helvetica" w:hAnsi="Helvetica"/>
        </w:rPr>
        <w:t xml:space="preserve"> dans </w:t>
      </w:r>
      <w:r>
        <w:rPr>
          <w:rFonts w:ascii="Helvetica" w:hAnsi="Helvetica"/>
          <w:b/>
          <w:bCs/>
        </w:rPr>
        <w:t xml:space="preserve">40 grands </w:t>
      </w:r>
      <w:r>
        <w:rPr>
          <w:rStyle w:val="Accentuationforte"/>
          <w:rFonts w:ascii="Helvetica" w:hAnsi="Helvetica"/>
        </w:rPr>
        <w:t>thèmes</w:t>
      </w:r>
      <w:r>
        <w:rPr>
          <w:rFonts w:ascii="Helvetica" w:hAnsi="Helvetica"/>
        </w:rPr>
        <w:t xml:space="preserve">, les </w:t>
      </w:r>
      <w:r>
        <w:rPr>
          <w:rStyle w:val="Accentuationforte"/>
          <w:rFonts w:ascii="Helvetica" w:hAnsi="Helvetica"/>
        </w:rPr>
        <w:t>citations contenant le mot musique</w:t>
      </w:r>
      <w:r>
        <w:rPr>
          <w:rFonts w:ascii="Helvetica" w:hAnsi="Helvetica"/>
        </w:rPr>
        <w:t xml:space="preserve">, célèbres ou non, en indiquant à chaque fois la </w:t>
      </w:r>
      <w:r>
        <w:rPr>
          <w:rStyle w:val="Accentuationforte"/>
          <w:rFonts w:ascii="Helvetica" w:hAnsi="Helvetica"/>
        </w:rPr>
        <w:t>source</w:t>
      </w:r>
      <w:r>
        <w:rPr>
          <w:rFonts w:ascii="Helvetica" w:hAnsi="Helvetica"/>
        </w:rPr>
        <w:t xml:space="preserve"> précise.</w:t>
      </w:r>
    </w:p>
    <w:p>
      <w:pPr>
        <w:pStyle w:val="Corpsdetexte"/>
        <w:bidi w:val="0"/>
        <w:spacing w:lineRule="auto" w:line="276"/>
        <w:jc w:val="both"/>
        <w:rPr>
          <w:rFonts w:ascii="Helvetica" w:hAnsi="Helvetica"/>
        </w:rPr>
      </w:pPr>
      <w:r>
        <w:rPr/>
      </w:r>
    </w:p>
    <w:p>
      <w:pPr>
        <w:pStyle w:val="Corpsdetexte"/>
        <w:bidi w:val="0"/>
        <w:spacing w:lineRule="auto" w:line="276"/>
        <w:jc w:val="both"/>
        <w:rPr>
          <w:rFonts w:ascii="Helvetica" w:hAnsi="Helvetica"/>
        </w:rPr>
      </w:pPr>
      <w:r>
        <w:rPr>
          <w:rFonts w:ascii="Helvetica" w:hAnsi="Helvetica"/>
          <w:b/>
          <w:bCs/>
        </w:rPr>
        <w:t>Préfacé par Eric Serra</w:t>
      </w:r>
      <w:r>
        <w:rPr>
          <w:rFonts w:ascii="Helvetica" w:hAnsi="Helvetica"/>
        </w:rPr>
        <w:t xml:space="preserve"> et agrémenté de témoignages exclusifs de diverses personnalités (</w:t>
      </w:r>
      <w:r>
        <w:rPr>
          <w:rFonts w:ascii="Helvetica" w:hAnsi="Helvetica"/>
          <w:b/>
          <w:bCs/>
        </w:rPr>
        <w:t>Jean-François Zyge</w:t>
      </w:r>
      <w:r>
        <w:rPr>
          <w:rFonts w:ascii="Helvetica" w:hAnsi="Helvetica"/>
        </w:rPr>
        <w:t xml:space="preserve">l, </w:t>
      </w:r>
      <w:r>
        <w:rPr>
          <w:rFonts w:ascii="Helvetica" w:hAnsi="Helvetica"/>
          <w:b/>
          <w:bCs/>
        </w:rPr>
        <w:t>Alexandre Pesle</w:t>
      </w:r>
      <w:r>
        <w:rPr>
          <w:rFonts w:ascii="Helvetica" w:hAnsi="Helvetica"/>
        </w:rPr>
        <w:t xml:space="preserve">, </w:t>
      </w:r>
      <w:r>
        <w:rPr>
          <w:rFonts w:ascii="Helvetica" w:hAnsi="Helvetica"/>
          <w:b/>
          <w:bCs/>
        </w:rPr>
        <w:t>Xavier Taffart</w:t>
      </w:r>
      <w:r>
        <w:rPr>
          <w:rFonts w:ascii="Helvetica" w:hAnsi="Helvetica"/>
        </w:rPr>
        <w:t xml:space="preserve">, </w:t>
      </w:r>
      <w:r>
        <w:rPr>
          <w:rFonts w:ascii="Helvetica" w:hAnsi="Helvetica"/>
          <w:b/>
          <w:bCs/>
        </w:rPr>
        <w:t>Charline Picon</w:t>
      </w:r>
      <w:r>
        <w:rPr>
          <w:rFonts w:ascii="Helvetica" w:hAnsi="Helvetica"/>
        </w:rPr>
        <w:t xml:space="preserve">…) le livre est illustré par David Camescasse et Clod. </w:t>
      </w:r>
    </w:p>
    <w:p>
      <w:pPr>
        <w:pStyle w:val="Corpsdetexte"/>
        <w:bidi w:val="0"/>
        <w:spacing w:lineRule="auto" w:line="276"/>
        <w:jc w:val="both"/>
        <w:rPr>
          <w:rFonts w:ascii="Helvetica" w:hAnsi="Helvetica"/>
        </w:rPr>
      </w:pPr>
      <w:r>
        <w:rPr>
          <w:rFonts w:ascii="Helvetica" w:hAnsi="Helvetica"/>
        </w:rPr>
      </w:r>
    </w:p>
    <w:p>
      <w:pPr>
        <w:pStyle w:val="Corpsdetexte"/>
        <w:bidi w:val="0"/>
        <w:spacing w:lineRule="auto" w:line="276"/>
        <w:jc w:val="both"/>
        <w:rPr/>
      </w:pPr>
      <w:r>
        <w:rPr>
          <w:rFonts w:ascii="Helvetica" w:hAnsi="Helvetica"/>
        </w:rPr>
        <w:t xml:space="preserve">Destiné tant au grand public qu’aux spécialistes (enseignants, étudiants, musicologues, journalistes, critiques…), </w:t>
      </w:r>
      <w:r>
        <w:rPr>
          <w:rStyle w:val="Accentuation"/>
          <w:rFonts w:ascii="Helvetica" w:hAnsi="Helvetica"/>
        </w:rPr>
        <w:t>1031 citations sur la musique</w:t>
      </w:r>
      <w:r>
        <w:rPr>
          <w:rFonts w:ascii="Helvetica" w:hAnsi="Helvetica"/>
        </w:rPr>
        <w:t xml:space="preserve"> a vocation à devenir </w:t>
      </w:r>
      <w:r>
        <w:rPr>
          <w:rStyle w:val="Accentuationforte"/>
          <w:rFonts w:ascii="Helvetica" w:hAnsi="Helvetica"/>
        </w:rPr>
        <w:t>LE</w:t>
      </w:r>
      <w:r>
        <w:rPr>
          <w:rFonts w:ascii="Helvetica" w:hAnsi="Helvetica"/>
        </w:rPr>
        <w:t xml:space="preserve"> livre de référence en matière de citation musicale.</w:t>
      </w:r>
    </w:p>
    <w:p>
      <w:pPr>
        <w:pStyle w:val="Corpsdetexte"/>
        <w:bidi w:val="0"/>
        <w:spacing w:lineRule="auto" w:line="276"/>
        <w:jc w:val="both"/>
        <w:rPr>
          <w:rFonts w:ascii="Helvetica" w:hAnsi="Helvetica"/>
        </w:rPr>
      </w:pPr>
      <w:r>
        <w:rPr>
          <w:rFonts w:ascii="Helvetica" w:hAnsi="Helvetica"/>
        </w:rPr>
        <w:t>--</w:t>
      </w:r>
    </w:p>
    <w:p>
      <w:pPr>
        <w:pStyle w:val="Corpsdetexte"/>
        <w:bidi w:val="0"/>
        <w:spacing w:lineRule="auto" w:line="276" w:before="0" w:after="0"/>
        <w:jc w:val="both"/>
        <w:rPr>
          <w:rFonts w:ascii="Sylfaen" w:hAnsi="Sylfaen" w:cs="Sylfaen"/>
          <w:sz w:val="24"/>
          <w:szCs w:val="24"/>
        </w:rPr>
      </w:pPr>
      <w:r>
        <w:rPr>
          <w:rFonts w:cs="Sylfaen" w:ascii="Helvetica" w:hAnsi="Helvetica"/>
          <w:sz w:val="24"/>
          <w:szCs w:val="24"/>
        </w:rPr>
        <w:t>Format poche 11x18cm</w:t>
      </w:r>
    </w:p>
    <w:p>
      <w:pPr>
        <w:pStyle w:val="Corpsdetexte"/>
        <w:bidi w:val="0"/>
        <w:spacing w:lineRule="auto" w:line="276" w:before="0" w:after="0"/>
        <w:jc w:val="both"/>
        <w:rPr>
          <w:rFonts w:ascii="Sylfaen" w:hAnsi="Sylfaen" w:cs="Sylfaen"/>
          <w:sz w:val="24"/>
          <w:szCs w:val="24"/>
        </w:rPr>
      </w:pPr>
      <w:r>
        <w:rPr>
          <w:rFonts w:cs="Sylfaen" w:ascii="Helvetica" w:hAnsi="Helvetica"/>
          <w:sz w:val="24"/>
          <w:szCs w:val="24"/>
        </w:rPr>
        <w:t>332 pages</w:t>
      </w:r>
    </w:p>
    <w:p>
      <w:pPr>
        <w:pStyle w:val="Corpsdetexte"/>
        <w:bidi w:val="0"/>
        <w:spacing w:lineRule="auto" w:line="276" w:before="0" w:after="0"/>
        <w:jc w:val="both"/>
        <w:rPr>
          <w:rFonts w:ascii="Helvetica" w:hAnsi="Helvetica"/>
        </w:rPr>
      </w:pPr>
      <w:r>
        <w:rPr>
          <w:rFonts w:cs="Sylfaen" w:ascii="Helvetica" w:hAnsi="Helvetica"/>
          <w:sz w:val="24"/>
          <w:szCs w:val="24"/>
        </w:rPr>
        <w:t xml:space="preserve">ISBN : </w:t>
      </w:r>
      <w:r>
        <w:rPr>
          <w:rFonts w:ascii="Helvetica" w:hAnsi="Helvetica"/>
        </w:rPr>
        <w:t>978-2-9558629-0-2</w:t>
      </w:r>
    </w:p>
    <w:p>
      <w:pPr>
        <w:pStyle w:val="Corpsdetexte"/>
        <w:bidi w:val="0"/>
        <w:spacing w:lineRule="auto" w:line="276" w:before="0" w:after="0"/>
        <w:jc w:val="both"/>
        <w:rPr>
          <w:rFonts w:ascii="Sylfaen" w:hAnsi="Sylfaen" w:cs="Sylfaen"/>
          <w:sz w:val="24"/>
          <w:szCs w:val="24"/>
        </w:rPr>
      </w:pPr>
      <w:r>
        <w:rPr>
          <w:rFonts w:cs="Sylfaen" w:ascii="Helvetica" w:hAnsi="Helvetica"/>
          <w:sz w:val="24"/>
          <w:szCs w:val="24"/>
        </w:rPr>
        <w:t>Prix public : 12,90€</w:t>
      </w:r>
    </w:p>
    <w:p>
      <w:pPr>
        <w:pStyle w:val="Corpsdetexte"/>
        <w:bidi w:val="0"/>
        <w:spacing w:lineRule="auto" w:line="276" w:before="0" w:after="0"/>
        <w:jc w:val="both"/>
        <w:rPr>
          <w:rFonts w:ascii="Helvetica" w:hAnsi="Helvetica"/>
        </w:rPr>
      </w:pPr>
      <w:r>
        <w:rPr>
          <w:rFonts w:cs="Sylfaen" w:ascii="Helvetica" w:hAnsi="Helvetica"/>
          <w:sz w:val="24"/>
          <w:szCs w:val="24"/>
        </w:rPr>
        <w:t>Disponible en librairie et sur loctanphare.com</w:t>
      </w:r>
    </w:p>
    <w:p>
      <w:pPr>
        <w:pStyle w:val="Corpsdetexte"/>
        <w:bidi w:val="0"/>
        <w:spacing w:lineRule="auto" w:line="276" w:before="0" w:after="0"/>
        <w:jc w:val="both"/>
        <w:rPr>
          <w:rFonts w:ascii="Helvetica" w:hAnsi="Helvetica"/>
        </w:rPr>
      </w:pPr>
      <w:r>
        <w:rPr>
          <w:rFonts w:cs="Sylfaen" w:ascii="Helvetica" w:hAnsi="Helvetica"/>
          <w:sz w:val="24"/>
          <w:szCs w:val="24"/>
        </w:rPr>
        <w:t>–</w:t>
      </w:r>
    </w:p>
    <w:p>
      <w:pPr>
        <w:pStyle w:val="Corpsdetexte"/>
        <w:bidi w:val="0"/>
        <w:spacing w:lineRule="auto" w:line="276" w:before="0" w:after="0"/>
        <w:jc w:val="both"/>
        <w:rPr>
          <w:rFonts w:cs="Sylfaen"/>
          <w:sz w:val="24"/>
          <w:szCs w:val="24"/>
        </w:rPr>
      </w:pPr>
      <w:r>
        <w:rPr>
          <w:rFonts w:ascii="Helvetica" w:hAnsi="Helvetica"/>
        </w:rPr>
      </w:r>
    </w:p>
    <w:p>
      <w:pPr>
        <w:pStyle w:val="Corpsdetexte"/>
        <w:bidi w:val="0"/>
        <w:spacing w:lineRule="auto" w:line="276" w:before="0" w:after="0"/>
        <w:jc w:val="both"/>
        <w:rPr>
          <w:rFonts w:cs="Sylfaen"/>
          <w:sz w:val="24"/>
          <w:szCs w:val="24"/>
        </w:rPr>
      </w:pPr>
      <w:r>
        <w:rPr>
          <w:rFonts w:ascii="Helvetica" w:hAnsi="Helvetica"/>
        </w:rPr>
      </w:r>
    </w:p>
    <w:p>
      <w:pPr>
        <w:pStyle w:val="Corpsdetexte"/>
        <w:bidi w:val="0"/>
        <w:spacing w:lineRule="auto" w:line="276" w:before="0" w:after="0"/>
        <w:jc w:val="center"/>
        <w:rPr>
          <w:rFonts w:ascii="Sylfaen" w:hAnsi="Sylfaen" w:cs="Sylfaen"/>
          <w:b/>
          <w:b/>
          <w:bCs/>
          <w:sz w:val="24"/>
          <w:szCs w:val="24"/>
        </w:rPr>
      </w:pPr>
      <w:r>
        <w:rPr>
          <w:rFonts w:cs="Sylfaen" w:ascii="Helvetica" w:hAnsi="Helvetica"/>
          <w:b/>
          <w:bCs/>
          <w:sz w:val="24"/>
          <w:szCs w:val="24"/>
        </w:rPr>
        <w:t>Extrait numérique</w:t>
      </w:r>
      <w:r>
        <w:rPr>
          <w:rFonts w:cs="Sylfaen" w:ascii="Helvetica" w:hAnsi="Helvetica"/>
          <w:b w:val="false"/>
          <w:bCs w:val="false"/>
          <w:sz w:val="24"/>
          <w:szCs w:val="24"/>
        </w:rPr>
        <w:t xml:space="preserve"> disponible ici : </w:t>
      </w:r>
      <w:hyperlink r:id="rId4">
        <w:r>
          <w:rPr>
            <w:rStyle w:val="LienInternet"/>
            <w:rFonts w:cs="Sylfaen" w:ascii="Helvetica" w:hAnsi="Helvetica"/>
            <w:b w:val="false"/>
            <w:bCs w:val="false"/>
            <w:sz w:val="24"/>
            <w:szCs w:val="24"/>
          </w:rPr>
          <w:t>https://loctanphare.com/1031extraits</w:t>
        </w:r>
      </w:hyperlink>
    </w:p>
    <w:p>
      <w:pPr>
        <w:pStyle w:val="Corpsdetexte"/>
        <w:bidi w:val="0"/>
        <w:spacing w:lineRule="auto" w:line="276" w:before="0" w:after="0"/>
        <w:jc w:val="center"/>
        <w:rPr/>
      </w:pPr>
      <w:r>
        <w:rPr>
          <w:rFonts w:cs="Sylfaen" w:ascii="Helvetica" w:hAnsi="Helvetica"/>
          <w:b/>
          <w:bCs/>
          <w:sz w:val="24"/>
          <w:szCs w:val="24"/>
        </w:rPr>
        <w:t>Dossier de presse</w:t>
      </w:r>
      <w:r>
        <w:rPr>
          <w:rFonts w:cs="Sylfaen" w:ascii="Helvetica" w:hAnsi="Helvetica"/>
          <w:b w:val="false"/>
          <w:bCs w:val="false"/>
          <w:sz w:val="24"/>
          <w:szCs w:val="24"/>
        </w:rPr>
        <w:t xml:space="preserve"> du livre disponible ici : </w:t>
      </w:r>
      <w:hyperlink r:id="rId5">
        <w:r>
          <w:rPr>
            <w:rStyle w:val="LienInternet"/>
            <w:rFonts w:cs="Sylfaen" w:ascii="Helvetica" w:hAnsi="Helvetica"/>
            <w:b w:val="false"/>
            <w:bCs w:val="false"/>
            <w:sz w:val="24"/>
            <w:szCs w:val="24"/>
          </w:rPr>
          <w:t>https://loctanphare.com/espace-presse</w:t>
        </w:r>
      </w:hyperlink>
    </w:p>
    <w:p>
      <w:pPr>
        <w:pStyle w:val="Corpsdetexte"/>
        <w:bidi w:val="0"/>
        <w:spacing w:lineRule="auto" w:line="276" w:before="0" w:after="0"/>
        <w:jc w:val="center"/>
        <w:rPr>
          <w:rFonts w:ascii="Helvetica" w:hAnsi="Helvetica" w:cs="Sylfaen"/>
          <w:b w:val="false"/>
          <w:b w:val="false"/>
          <w:bCs w:val="false"/>
          <w:sz w:val="24"/>
          <w:szCs w:val="24"/>
        </w:rPr>
      </w:pPr>
      <w:r>
        <w:rPr/>
      </w:r>
    </w:p>
    <w:p>
      <w:pPr>
        <w:pStyle w:val="Corpsdetexte"/>
        <w:bidi w:val="0"/>
        <w:spacing w:lineRule="auto" w:line="276" w:before="0" w:after="0"/>
        <w:jc w:val="center"/>
        <w:rPr/>
      </w:pPr>
      <w:r>
        <w:rPr>
          <w:rFonts w:cs="Sylfaen" w:ascii="Helvetica" w:hAnsi="Helvetica"/>
          <w:b/>
          <w:bCs/>
          <w:sz w:val="24"/>
          <w:szCs w:val="24"/>
        </w:rPr>
        <w:t xml:space="preserve">Contact Presse : </w:t>
      </w:r>
      <w:r>
        <w:rPr>
          <w:rFonts w:cs="Sylfaen" w:ascii="Helvetica" w:hAnsi="Helvetica"/>
          <w:sz w:val="24"/>
          <w:szCs w:val="24"/>
        </w:rPr>
        <w:t xml:space="preserve">Sylvain Kuntzmann  </w:t>
      </w:r>
      <w:hyperlink r:id="rId6">
        <w:r>
          <w:rPr>
            <w:rStyle w:val="LienInternet"/>
            <w:rFonts w:cs="Sylfaen" w:ascii="Helvetica" w:hAnsi="Helvetica"/>
            <w:sz w:val="24"/>
            <w:szCs w:val="24"/>
          </w:rPr>
          <w:t>presse@loctanphare.com</w:t>
        </w:r>
      </w:hyperlink>
      <w:r>
        <w:rPr>
          <w:rFonts w:cs="Sylfaen" w:ascii="Helvetica" w:hAnsi="Helvetica"/>
          <w:sz w:val="24"/>
          <w:szCs w:val="24"/>
        </w:rPr>
        <w:t xml:space="preserve">  +33(0)6 99 17 39 55</w:t>
      </w:r>
    </w:p>
    <w:sectPr>
      <w:footerReference w:type="default" r:id="rId7"/>
      <w:type w:val="nextPage"/>
      <w:pgSz w:w="11906" w:h="16838"/>
      <w:pgMar w:left="1134" w:right="1134" w:header="0" w:top="621" w:footer="460" w:bottom="1152" w:gutter="0"/>
      <w:pgNumType w:fmt="decimal"/>
      <w:formProt w:val="false"/>
      <w:textDirection w:val="lrTb"/>
      <w:docGrid w:type="default" w:linePitch="36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Liberation Mono">
    <w:altName w:val="Courier New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Helvetica">
    <w:altName w:val="Arial"/>
    <w:charset w:val="01"/>
    <w:family w:val="swiss"/>
    <w:pitch w:val="variable"/>
  </w:font>
  <w:font w:name="Sylfaen">
    <w:charset w:val="01"/>
    <w:family w:val="roman"/>
    <w:pitch w:val="variable"/>
  </w:font>
  <w:font w:name="Georgia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depage"/>
      <w:jc w:val="center"/>
      <w:rPr/>
    </w:pPr>
    <w:r>
      <w:rPr>
        <w:rFonts w:cs="Georgia" w:ascii="Georgia" w:hAnsi="Georgia"/>
        <w:b/>
        <w:bCs/>
        <w:i w:val="false"/>
        <w:iCs w:val="false"/>
        <w:sz w:val="20"/>
        <w:szCs w:val="20"/>
      </w:rPr>
      <w:t>Éditions L'octanphare</w:t>
    </w:r>
  </w:p>
  <w:p>
    <w:pPr>
      <w:pStyle w:val="Pieddepage"/>
      <w:jc w:val="center"/>
      <w:rPr/>
    </w:pPr>
    <w:r>
      <w:rPr>
        <w:rFonts w:cs="Georgia" w:ascii="Georgia" w:hAnsi="Georgia"/>
        <w:sz w:val="16"/>
        <w:szCs w:val="16"/>
      </w:rPr>
      <w:t>9 lot Le Billeau 17920 Breuillet FRANCE | +33(0)5 17 81 07 14 | contact@loctanphare.com | loctanphare.com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Titre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Titre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Titre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Titre5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720" w:hanging="0"/>
      </w:pPr>
    </w:lvl>
    <w:lvl w:ilvl="1">
      <w:start w:val="1"/>
      <w:numFmt w:val="none"/>
      <w:suff w:val="nothing"/>
      <w:lvlText w:val=""/>
      <w:lvlJc w:val="left"/>
      <w:pPr>
        <w:ind w:left="1080" w:hanging="0"/>
      </w:pPr>
    </w:lvl>
    <w:lvl w:ilvl="2">
      <w:start w:val="1"/>
      <w:numFmt w:val="none"/>
      <w:suff w:val="nothing"/>
      <w:lvlText w:val=""/>
      <w:lvlJc w:val="left"/>
      <w:pPr>
        <w:ind w:left="1440" w:hanging="0"/>
      </w:pPr>
    </w:lvl>
    <w:lvl w:ilvl="3">
      <w:start w:val="1"/>
      <w:numFmt w:val="none"/>
      <w:suff w:val="nothing"/>
      <w:lvlText w:val=""/>
      <w:lvlJc w:val="left"/>
      <w:pPr>
        <w:ind w:left="1800" w:hanging="0"/>
      </w:pPr>
    </w:lvl>
    <w:lvl w:ilvl="4">
      <w:start w:val="1"/>
      <w:numFmt w:val="none"/>
      <w:suff w:val="nothing"/>
      <w:lvlText w:val=""/>
      <w:lvlJc w:val="left"/>
      <w:pPr>
        <w:ind w:left="2160" w:hanging="0"/>
      </w:pPr>
    </w:lvl>
    <w:lvl w:ilvl="5">
      <w:start w:val="1"/>
      <w:numFmt w:val="none"/>
      <w:suff w:val="nothing"/>
      <w:lvlText w:val=""/>
      <w:lvlJc w:val="left"/>
      <w:pPr>
        <w:ind w:left="2520" w:hanging="0"/>
      </w:pPr>
    </w:lvl>
    <w:lvl w:ilvl="6">
      <w:start w:val="1"/>
      <w:numFmt w:val="none"/>
      <w:suff w:val="nothing"/>
      <w:lvlText w:val=""/>
      <w:lvlJc w:val="left"/>
      <w:pPr>
        <w:ind w:left="2880" w:hanging="0"/>
      </w:pPr>
    </w:lvl>
    <w:lvl w:ilvl="7">
      <w:start w:val="1"/>
      <w:numFmt w:val="none"/>
      <w:suff w:val="nothing"/>
      <w:lvlText w:val=""/>
      <w:lvlJc w:val="left"/>
      <w:pPr>
        <w:ind w:left="3240" w:hanging="0"/>
      </w:pPr>
    </w:lvl>
    <w:lvl w:ilvl="8">
      <w:start w:val="1"/>
      <w:numFmt w:val="none"/>
      <w:suff w:val="nothing"/>
      <w:lvlText w:val=""/>
      <w:lvlJc w:val="left"/>
      <w:pPr>
        <w:ind w:left="360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isplayBackgroundShape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Arial Unicode MS" w:cs="Arial Unicode MS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jc w:val="left"/>
    </w:pPr>
    <w:rPr>
      <w:rFonts w:ascii="Liberation Serif;Times New Roman" w:hAnsi="Liberation Serif;Times New Roman" w:eastAsia="Arial Unicode MS" w:cs="Arial Unicode MS"/>
      <w:color w:val="00000A"/>
      <w:sz w:val="24"/>
      <w:szCs w:val="24"/>
      <w:lang w:val="fr-FR" w:eastAsia="zh-CN" w:bidi="hi-IN"/>
    </w:rPr>
  </w:style>
  <w:style w:type="paragraph" w:styleId="Titre1">
    <w:name w:val="Heading 1"/>
    <w:basedOn w:val="Titre"/>
    <w:qFormat/>
    <w:pPr>
      <w:numPr>
        <w:ilvl w:val="0"/>
        <w:numId w:val="1"/>
      </w:numPr>
      <w:spacing w:before="240" w:after="120"/>
      <w:ind w:left="0" w:right="0" w:hanging="0"/>
      <w:outlineLvl w:val="0"/>
    </w:pPr>
    <w:rPr>
      <w:rFonts w:ascii="Liberation Serif;Times New Roman" w:hAnsi="Liberation Serif;Times New Roman" w:eastAsia="Arial Unicode MS" w:cs="Arial Unicode MS"/>
      <w:b/>
      <w:bCs/>
      <w:sz w:val="48"/>
      <w:szCs w:val="48"/>
    </w:rPr>
  </w:style>
  <w:style w:type="paragraph" w:styleId="Titre2">
    <w:name w:val="Heading 2"/>
    <w:basedOn w:val="Titre"/>
    <w:qFormat/>
    <w:pPr>
      <w:numPr>
        <w:ilvl w:val="1"/>
        <w:numId w:val="1"/>
      </w:numPr>
      <w:spacing w:before="200" w:after="120"/>
      <w:ind w:left="0" w:right="0" w:hanging="0"/>
      <w:outlineLvl w:val="1"/>
    </w:pPr>
    <w:rPr>
      <w:rFonts w:ascii="Liberation Serif;Times New Roman" w:hAnsi="Liberation Serif;Times New Roman" w:eastAsia="Arial Unicode MS" w:cs="Arial Unicode MS"/>
      <w:b/>
      <w:bCs/>
      <w:sz w:val="36"/>
      <w:szCs w:val="36"/>
    </w:rPr>
  </w:style>
  <w:style w:type="paragraph" w:styleId="Titre4">
    <w:name w:val="Heading 4"/>
    <w:basedOn w:val="Titre"/>
    <w:qFormat/>
    <w:pPr>
      <w:numPr>
        <w:ilvl w:val="3"/>
        <w:numId w:val="1"/>
      </w:numPr>
      <w:spacing w:before="120" w:after="120"/>
      <w:ind w:left="0" w:right="0" w:hanging="0"/>
      <w:outlineLvl w:val="3"/>
    </w:pPr>
    <w:rPr>
      <w:rFonts w:ascii="Liberation Serif;Times New Roman" w:hAnsi="Liberation Serif;Times New Roman" w:eastAsia="Arial Unicode MS" w:cs="Arial Unicode MS"/>
      <w:b/>
      <w:bCs/>
      <w:sz w:val="24"/>
      <w:szCs w:val="24"/>
    </w:rPr>
  </w:style>
  <w:style w:type="paragraph" w:styleId="Titre5">
    <w:name w:val="Heading 5"/>
    <w:basedOn w:val="Titre"/>
    <w:qFormat/>
    <w:pPr>
      <w:numPr>
        <w:ilvl w:val="4"/>
        <w:numId w:val="1"/>
      </w:numPr>
      <w:spacing w:before="120" w:after="60"/>
      <w:ind w:left="0" w:right="0" w:hanging="0"/>
      <w:outlineLvl w:val="4"/>
    </w:pPr>
    <w:rPr>
      <w:rFonts w:ascii="Liberation Serif;Times New Roman" w:hAnsi="Liberation Serif;Times New Roman" w:eastAsia="Arial Unicode MS" w:cs="Arial Unicode MS"/>
      <w:b/>
      <w:bCs/>
      <w:sz w:val="20"/>
      <w:szCs w:val="20"/>
    </w:rPr>
  </w:style>
  <w:style w:type="character" w:styleId="Accentuation">
    <w:name w:val="Accentuation"/>
    <w:qFormat/>
    <w:rPr>
      <w:i/>
      <w:iCs/>
    </w:rPr>
  </w:style>
  <w:style w:type="character" w:styleId="Accentuationforte">
    <w:name w:val="Accentuation forte"/>
    <w:qFormat/>
    <w:rPr>
      <w:b/>
      <w:bCs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Textesource">
    <w:name w:val="Texte source"/>
    <w:qFormat/>
    <w:rPr>
      <w:rFonts w:ascii="Liberation Mono;Courier New" w:hAnsi="Liberation Mono;Courier New" w:eastAsia="Courier New" w:cs="Liberation Mono;Courier New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;Arial" w:hAnsi="Liberation Sans;Arial" w:eastAsia="Arial Unicode MS" w:cs="Arial Unicode M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Quotations">
    <w:name w:val="Quotations"/>
    <w:basedOn w:val="Normal"/>
    <w:qFormat/>
    <w:pPr>
      <w:spacing w:before="0" w:after="283"/>
      <w:ind w:left="567" w:right="567" w:hanging="0"/>
    </w:pPr>
    <w:rPr/>
  </w:style>
  <w:style w:type="paragraph" w:styleId="Pieddepage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Entte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loctanphare.com/1031extraits" TargetMode="External"/><Relationship Id="rId5" Type="http://schemas.openxmlformats.org/officeDocument/2006/relationships/hyperlink" Target="https://loctanphare.com/espace-presse" TargetMode="External"/><Relationship Id="rId6" Type="http://schemas.openxmlformats.org/officeDocument/2006/relationships/hyperlink" Target="mailto:presse@loctanphare.com" TargetMode="Externa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78</TotalTime>
  <Application>LibreOffice/5.3.6.1$MacOSX_X86_64 LibreOffice_project/686f202eff87ef707079aeb7f485847613344eb7</Application>
  <Pages>1</Pages>
  <Words>195</Words>
  <Characters>1167</Characters>
  <CharactersWithSpaces>1368</CharactersWithSpaces>
  <Paragraphs>21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2017-07-20T11:25:50Z</dcterms:created>
  <dc:creator/>
  <dc:description/>
  <dc:language>fr-FR</dc:language>
  <cp:lastModifiedBy/>
  <dcterms:modified xsi:type="dcterms:W3CDTF">2018-01-11T12:48:27Z</dcterms:modified>
  <cp:revision>16</cp:revision>
  <dc:subject/>
  <dc:title/>
</cp:coreProperties>
</file>