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before="0" w:after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15085" cy="2927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rFonts w:ascii="Sylfaen" w:hAnsi="Sylfaen" w:cs="Sylfaen"/>
          <w:b/>
          <w:b/>
          <w:bCs/>
          <w:highlight w:val="lightGray"/>
        </w:rPr>
      </w:pPr>
      <w:r>
        <w:rPr>
          <w:rFonts w:cs="Sylfaen" w:ascii="Sylfaen" w:hAnsi="Sylfaen"/>
          <w:b/>
          <w:bCs/>
          <w:highlight w:val="lightGray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Sylfaen" w:ascii="Sylfaen" w:hAnsi="Sylfaen"/>
          <w:b/>
          <w:bCs/>
          <w:highlight w:val="lightGray"/>
        </w:rPr>
        <w:t xml:space="preserve">COMMUNIQUÉ </w:t>
        <w:tab/>
        <w:tab/>
        <w:tab/>
        <w:tab/>
        <w:tab/>
        <w:tab/>
        <w:t xml:space="preserve">              </w:t>
      </w:r>
      <w:r>
        <w:rPr>
          <w:rFonts w:cs="Sylfaen" w:ascii="Sylfaen" w:hAnsi="Sylfaen"/>
          <w:b w:val="false"/>
          <w:bCs w:val="false"/>
          <w:highlight w:val="lightGray"/>
        </w:rPr>
        <w:t>Breuillet, le 19 novembre 2017</w:t>
      </w:r>
    </w:p>
    <w:p>
      <w:pPr>
        <w:pStyle w:val="Normal"/>
        <w:bidi w:val="0"/>
        <w:spacing w:before="0" w:after="0"/>
        <w:jc w:val="left"/>
        <w:rPr>
          <w:rFonts w:ascii="Sylfaen" w:hAnsi="Sylfaen" w:cs="Sylfaen"/>
          <w:b w:val="false"/>
          <w:b w:val="false"/>
          <w:bCs w:val="false"/>
        </w:rPr>
      </w:pPr>
      <w:r>
        <w:rPr>
          <w:rFonts w:cs="Sylfaen" w:ascii="Sylfaen" w:hAnsi="Sylfaen"/>
          <w:b w:val="false"/>
          <w:bCs w:val="false"/>
        </w:rPr>
      </w:r>
    </w:p>
    <w:p>
      <w:pPr>
        <w:pStyle w:val="Titre1"/>
        <w:numPr>
          <w:ilvl w:val="0"/>
          <w:numId w:val="2"/>
        </w:numPr>
        <w:bidi w:val="0"/>
        <w:spacing w:before="0" w:after="0"/>
        <w:ind w:left="0" w:right="0" w:hanging="0"/>
        <w:jc w:val="center"/>
        <w:rPr/>
      </w:pPr>
      <w:r>
        <w:rPr>
          <w:rFonts w:cs="Sylfaen" w:ascii="Sylfaen" w:hAnsi="Sylfaen"/>
          <w:b/>
          <w:bCs/>
        </w:rPr>
        <w:t>Livre 1031 citations sur la musique</w:t>
      </w:r>
    </w:p>
    <w:p>
      <w:pPr>
        <w:pStyle w:val="Corpsdetexte"/>
        <w:bidi w:val="0"/>
        <w:spacing w:before="0" w:after="0"/>
        <w:jc w:val="center"/>
        <w:rPr/>
      </w:pPr>
      <w:r>
        <w:rPr>
          <w:rFonts w:cs="Sylfaen" w:ascii="Sylfaen" w:hAnsi="Sylfaen"/>
          <w:b/>
          <w:bCs/>
          <w:sz w:val="32"/>
          <w:szCs w:val="32"/>
        </w:rPr>
        <w:t>Lancement officiel</w:t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Titre5"/>
        <w:numPr>
          <w:ilvl w:val="4"/>
          <w:numId w:val="2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32"/>
          <w:szCs w:val="32"/>
          <w:u w:val="none"/>
        </w:rPr>
        <w:t xml:space="preserve">Les éditions L’octanphare présentent le livre </w:t>
      </w:r>
      <w:hyperlink r:id="rId3">
        <w:r>
          <w:rPr>
            <w:rStyle w:val="Accentuationforte"/>
            <w:rFonts w:cs="Sylfaen" w:ascii="Sylfaen" w:hAnsi="Sylfaen"/>
            <w:b/>
            <w:bCs/>
            <w:i/>
            <w:iCs/>
            <w:color w:val="00000A"/>
            <w:sz w:val="32"/>
            <w:szCs w:val="32"/>
            <w:u w:val="none"/>
          </w:rPr>
          <w:t>1031 citations sur la musique</w:t>
        </w:r>
      </w:hyperlink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32"/>
          <w:szCs w:val="32"/>
          <w:u w:val="none"/>
        </w:rPr>
        <w:t xml:space="preserve"> du compositeur et musicologue Marc Kowalczyk et Muriel Lamour, enseignante à l’université ; préfacé par Eric Serra.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cs="Sylfaen" w:ascii="Sylfaen" w:hAnsi="Sylfaen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Corpsdetexte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2711450" cy="43402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340225"/>
                    </a:xfrm>
                    <a:prstGeom prst="rect">
                      <a:avLst/>
                    </a:prstGeom>
                    <a:ln w="635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ruit d’un travail musicologique de plus de 30 années, cet ouvrage recense par </w:t>
      </w:r>
      <w:r>
        <w:rPr>
          <w:rStyle w:val="Accentuationforte"/>
        </w:rPr>
        <w:t>auteurs</w:t>
      </w:r>
      <w:r>
        <w:rPr/>
        <w:t xml:space="preserve"> dans </w:t>
      </w:r>
      <w:r>
        <w:rPr>
          <w:b/>
          <w:bCs/>
        </w:rPr>
        <w:t xml:space="preserve">40 grands </w:t>
      </w:r>
      <w:r>
        <w:rPr>
          <w:rStyle w:val="Accentuationforte"/>
        </w:rPr>
        <w:t>thèmes</w:t>
      </w:r>
      <w:r>
        <w:rPr/>
        <w:t xml:space="preserve">, les </w:t>
      </w:r>
      <w:r>
        <w:rPr>
          <w:rStyle w:val="Accentuationforte"/>
        </w:rPr>
        <w:t>citations contenant le mot musique</w:t>
      </w:r>
      <w:r>
        <w:rPr/>
        <w:t xml:space="preserve">, célèbres ou non, en indiquant à chaque fois la </w:t>
      </w:r>
      <w:r>
        <w:rPr>
          <w:rStyle w:val="Accentuationforte"/>
        </w:rPr>
        <w:t>source</w:t>
      </w:r>
      <w:r>
        <w:rPr/>
        <w:t xml:space="preserve"> précise.</w:t>
      </w:r>
    </w:p>
    <w:p>
      <w:pPr>
        <w:pStyle w:val="Corpsdetexte"/>
        <w:jc w:val="both"/>
        <w:rPr/>
      </w:pPr>
      <w:r>
        <w:rPr>
          <w:b/>
          <w:bCs/>
        </w:rPr>
        <w:t>Préfacé par Eric Serra</w:t>
      </w:r>
      <w:r>
        <w:rPr/>
        <w:t xml:space="preserve"> et agrémenté de témoignages exclusifs de diverses personnalités (</w:t>
      </w:r>
      <w:r>
        <w:rPr>
          <w:b/>
          <w:bCs/>
        </w:rPr>
        <w:t>Jean-François Zyge</w:t>
      </w:r>
      <w:r>
        <w:rPr/>
        <w:t xml:space="preserve">l, </w:t>
      </w:r>
      <w:r>
        <w:rPr>
          <w:b/>
          <w:bCs/>
        </w:rPr>
        <w:t>Alexandre Pesle</w:t>
      </w:r>
      <w:r>
        <w:rPr/>
        <w:t xml:space="preserve">, </w:t>
      </w:r>
      <w:r>
        <w:rPr>
          <w:b/>
          <w:bCs/>
        </w:rPr>
        <w:t>Xavier Taffart</w:t>
      </w:r>
      <w:r>
        <w:rPr/>
        <w:t xml:space="preserve">, </w:t>
      </w:r>
      <w:r>
        <w:rPr>
          <w:b/>
          <w:bCs/>
        </w:rPr>
        <w:t>Charline Picon</w:t>
      </w:r>
      <w:r>
        <w:rPr/>
        <w:t xml:space="preserve">…) le livre est illustré par David Camescasse et Clod. </w:t>
      </w:r>
    </w:p>
    <w:p>
      <w:pPr>
        <w:pStyle w:val="Corpsdetexte"/>
        <w:jc w:val="both"/>
        <w:rPr/>
      </w:pPr>
      <w:r>
        <w:rPr/>
        <w:t xml:space="preserve">Destiné tant au grand public qu’aux spécialistes (enseignants, étudiants, musicologues, journalistes, critiques…), </w:t>
      </w:r>
      <w:r>
        <w:rPr>
          <w:rStyle w:val="Accentuation"/>
        </w:rPr>
        <w:t>1031 citations sur la musique</w:t>
      </w:r>
      <w:r>
        <w:rPr/>
        <w:t xml:space="preserve"> a vocation à devenir </w:t>
      </w:r>
      <w:r>
        <w:rPr>
          <w:rStyle w:val="Accentuationforte"/>
        </w:rPr>
        <w:t>LE</w:t>
      </w:r>
      <w:r>
        <w:rPr/>
        <w:t xml:space="preserve"> livre de référence en matière de citation musicale.</w:t>
      </w:r>
    </w:p>
    <w:p>
      <w:pPr>
        <w:pStyle w:val="Corpsdetexte"/>
        <w:jc w:val="both"/>
        <w:rPr/>
      </w:pPr>
      <w:r>
        <w:rPr/>
        <w:t>--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t>Format poche 11x18cm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t>332 pages</w:t>
      </w:r>
    </w:p>
    <w:p>
      <w:pPr>
        <w:pStyle w:val="Corpsdetexte"/>
        <w:bidi w:val="0"/>
        <w:spacing w:lineRule="auto" w:line="240" w:before="0" w:after="0"/>
        <w:jc w:val="both"/>
        <w:rPr/>
      </w:pPr>
      <w:r>
        <w:rPr>
          <w:rFonts w:cs="Sylfaen" w:ascii="Sylfaen" w:hAnsi="Sylfaen"/>
          <w:sz w:val="24"/>
          <w:szCs w:val="24"/>
        </w:rPr>
        <w:t xml:space="preserve">ISBN : </w:t>
      </w:r>
      <w:r>
        <w:rPr/>
        <w:t>978-2-9558629-0-2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  <w:t>Prix public : 12,90€</w:t>
      </w:r>
    </w:p>
    <w:p>
      <w:pPr>
        <w:pStyle w:val="Corpsdetexte"/>
        <w:bidi w:val="0"/>
        <w:spacing w:lineRule="auto" w:line="240" w:before="0" w:after="0"/>
        <w:jc w:val="both"/>
        <w:rPr/>
      </w:pPr>
      <w:r>
        <w:rPr>
          <w:rFonts w:cs="Sylfaen" w:ascii="Sylfaen" w:hAnsi="Sylfaen"/>
          <w:sz w:val="24"/>
          <w:szCs w:val="24"/>
        </w:rPr>
        <w:t>Disponible en librairie, Fnac, Espaces culturels E. Leclerc et sur loctanphare.com</w:t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both"/>
        <w:rPr>
          <w:rFonts w:ascii="Sylfaen" w:hAnsi="Sylfaen" w:cs="Sylfaen"/>
          <w:b/>
          <w:b/>
          <w:bCs/>
          <w:sz w:val="24"/>
          <w:szCs w:val="24"/>
        </w:rPr>
      </w:pPr>
      <w:r>
        <w:rPr>
          <w:rFonts w:cs="Sylfaen" w:ascii="Sylfaen" w:hAnsi="Sylfaen"/>
          <w:b/>
          <w:bCs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>
          <w:rFonts w:ascii="Sylfaen" w:hAnsi="Sylfaen" w:cs="Sylfaen"/>
          <w:b w:val="false"/>
          <w:b w:val="false"/>
          <w:bCs w:val="false"/>
          <w:sz w:val="24"/>
          <w:szCs w:val="24"/>
        </w:rPr>
      </w:pPr>
      <w:r>
        <w:rPr>
          <w:rFonts w:cs="Sylfaen" w:ascii="Sylfaen" w:hAnsi="Sylfaen"/>
          <w:b w:val="false"/>
          <w:bCs w:val="false"/>
          <w:sz w:val="24"/>
          <w:szCs w:val="24"/>
        </w:rPr>
        <w:t xml:space="preserve">Extrait numérique disponible ici : </w:t>
      </w:r>
      <w:hyperlink r:id="rId5">
        <w:r>
          <w:rPr>
            <w:rStyle w:val="LienInternet"/>
            <w:rFonts w:cs="Sylfaen" w:ascii="Sylfaen" w:hAnsi="Sylfaen"/>
            <w:b w:val="false"/>
            <w:bCs w:val="false"/>
            <w:sz w:val="24"/>
            <w:szCs w:val="24"/>
          </w:rPr>
          <w:t>https://loctanphare.com/1031extraits</w:t>
        </w:r>
      </w:hyperlink>
    </w:p>
    <w:p>
      <w:pPr>
        <w:pStyle w:val="Corpsdetexte"/>
        <w:bidi w:val="0"/>
        <w:spacing w:lineRule="auto" w:line="240" w:before="0" w:after="0"/>
        <w:jc w:val="center"/>
        <w:rPr>
          <w:rFonts w:ascii="Sylfaen" w:hAnsi="Sylfaen" w:cs="Sylfaen"/>
          <w:b/>
          <w:b/>
          <w:bCs/>
          <w:sz w:val="24"/>
          <w:szCs w:val="24"/>
        </w:rPr>
      </w:pPr>
      <w:r>
        <w:rPr>
          <w:rFonts w:cs="Sylfaen" w:ascii="Sylfaen" w:hAnsi="Sylfaen"/>
          <w:b/>
          <w:bCs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>
          <w:rFonts w:ascii="Sylfaen" w:hAnsi="Sylfaen" w:cs="Sylfaen"/>
          <w:b/>
          <w:b/>
          <w:bCs/>
          <w:sz w:val="24"/>
          <w:szCs w:val="24"/>
        </w:rPr>
      </w:pPr>
      <w:r>
        <w:rPr>
          <w:rFonts w:cs="Sylfaen" w:ascii="Sylfaen" w:hAnsi="Sylfaen"/>
          <w:b/>
          <w:bCs/>
          <w:sz w:val="24"/>
          <w:szCs w:val="24"/>
        </w:rPr>
      </w:r>
    </w:p>
    <w:p>
      <w:pPr>
        <w:pStyle w:val="Corpsdetexte"/>
        <w:bidi w:val="0"/>
        <w:spacing w:lineRule="auto" w:line="240" w:before="0" w:after="0"/>
        <w:jc w:val="center"/>
        <w:rPr/>
      </w:pPr>
      <w:r>
        <w:rPr>
          <w:rFonts w:cs="Sylfaen" w:ascii="Sylfaen" w:hAnsi="Sylfaen"/>
          <w:b/>
          <w:bCs/>
          <w:sz w:val="24"/>
          <w:szCs w:val="24"/>
        </w:rPr>
        <w:t xml:space="preserve">Contact Presse : </w:t>
      </w:r>
      <w:r>
        <w:rPr>
          <w:rFonts w:cs="Sylfaen" w:ascii="Sylfaen" w:hAnsi="Sylfaen"/>
          <w:sz w:val="24"/>
          <w:szCs w:val="24"/>
        </w:rPr>
        <w:t xml:space="preserve">Sylvain Kuntzmann  </w:t>
      </w:r>
      <w:hyperlink r:id="rId6">
        <w:r>
          <w:rPr>
            <w:rStyle w:val="LienInternet"/>
            <w:rFonts w:cs="Sylfaen" w:ascii="Sylfaen" w:hAnsi="Sylfaen"/>
            <w:sz w:val="24"/>
            <w:szCs w:val="24"/>
          </w:rPr>
          <w:t>presse@loctanphare.com</w:t>
        </w:r>
      </w:hyperlink>
      <w:r>
        <w:rPr>
          <w:rFonts w:cs="Sylfaen" w:ascii="Sylfaen" w:hAnsi="Sylfaen"/>
          <w:sz w:val="24"/>
          <w:szCs w:val="24"/>
        </w:rPr>
        <w:t xml:space="preserve">  +33(0)6 99 17 39 55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1693" w:footer="460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lfae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Georgia" w:hAnsi="Georgia" w:cs="Georgia"/>
        <w:b/>
        <w:b/>
        <w:bCs/>
        <w:i w:val="false"/>
        <w:i w:val="false"/>
        <w:iCs w:val="false"/>
        <w:sz w:val="20"/>
        <w:szCs w:val="20"/>
      </w:rPr>
    </w:pPr>
    <w:r>
      <w:rPr>
        <w:rFonts w:cs="Georgia" w:ascii="Georgia" w:hAnsi="Georgia"/>
        <w:b/>
        <w:bCs/>
        <w:i w:val="false"/>
        <w:iCs w:val="false"/>
        <w:sz w:val="20"/>
        <w:szCs w:val="20"/>
      </w:rPr>
      <w:t>Éditions L'octanphare</w:t>
    </w:r>
  </w:p>
  <w:p>
    <w:pPr>
      <w:pStyle w:val="Pieddepage"/>
      <w:jc w:val="center"/>
      <w:rPr>
        <w:rFonts w:ascii="Georgia" w:hAnsi="Georgia" w:cs="Georgia"/>
        <w:sz w:val="16"/>
        <w:szCs w:val="16"/>
      </w:rPr>
    </w:pPr>
    <w:r>
      <w:rPr>
        <w:rFonts w:cs="Georgia" w:ascii="Georgia" w:hAnsi="Georgia"/>
        <w:sz w:val="16"/>
        <w:szCs w:val="16"/>
      </w:rPr>
      <w:t>9 lot Le Billeau 17920 Breuillet FRANCE | +33(0)5 17 81 07 14 | contact@loctanphare.com | loctanphare.com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ind w:left="0" w:right="0" w:hanging="0"/>
      <w:outlineLvl w:val="0"/>
      <w:outlineLvl w:val="0"/>
    </w:pPr>
    <w:rPr>
      <w:rFonts w:ascii="Liberation Serif;Times New Roman" w:hAnsi="Liberation Serif;Times New Roman" w:eastAsia="Arial Unicode MS" w:cs="Arial Unicode MS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;Times New Roman" w:hAnsi="Liberation Serif;Times New Roman" w:eastAsia="Arial Unicode MS" w:cs="Arial Unicode MS"/>
      <w:b/>
      <w:bCs/>
      <w:sz w:val="36"/>
      <w:szCs w:val="36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ind w:left="0" w:right="0" w:hanging="0"/>
      <w:outlineLvl w:val="3"/>
      <w:outlineLvl w:val="3"/>
    </w:pPr>
    <w:rPr>
      <w:rFonts w:ascii="Liberation Serif;Times New Roman" w:hAnsi="Liberation Serif;Times New Roman" w:eastAsia="Arial Unicode MS" w:cs="Arial Unicode MS"/>
      <w:b/>
      <w:bCs/>
      <w:sz w:val="24"/>
      <w:szCs w:val="24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ind w:left="0" w:right="0" w:hanging="0"/>
      <w:outlineLvl w:val="4"/>
      <w:outlineLvl w:val="4"/>
    </w:pPr>
    <w:rPr>
      <w:rFonts w:ascii="Liberation Serif;Times New Roman" w:hAnsi="Liberation Serif;Times New Roman" w:eastAsia="Arial Unicode MS" w:cs="Arial Unicode MS"/>
      <w:b/>
      <w:bCs/>
      <w:sz w:val="20"/>
      <w:szCs w:val="20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Textesource">
    <w:name w:val="Texte source"/>
    <w:qFormat/>
    <w:rPr>
      <w:rFonts w:ascii="Liberation Mono;Courier New" w:hAnsi="Liberation Mono;Courier New" w:eastAsia="Courier New" w:cs="Liberation Mono;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ctanphare.com/produit/1031-citations-sur-la-musique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loctanphare.com/1031extraits" TargetMode="External"/><Relationship Id="rId6" Type="http://schemas.openxmlformats.org/officeDocument/2006/relationships/hyperlink" Target="mailto:presse@loctanphar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LibreOffice/5.2.6.2$MacOSX_X86_64 LibreOffice_project/a3100ed2409ebf1c212f5048fbe377c281438fdc</Application>
  <Pages>1</Pages>
  <Words>196</Words>
  <Characters>1179</Characters>
  <CharactersWithSpaces>1381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2017-07-20T11:25:50Z</dcterms:created>
  <dc:creator/>
  <dc:description/>
  <dc:language>fr-FR</dc:language>
  <cp:lastModifiedBy/>
  <dcterms:modified xsi:type="dcterms:W3CDTF">2017-11-19T21:40:24Z</dcterms:modified>
  <cp:revision>15</cp:revision>
  <dc:subject/>
  <dc:title/>
</cp:coreProperties>
</file>