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before="0" w:after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15085" cy="2927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rFonts w:ascii="Sylfaen" w:hAnsi="Sylfaen" w:cs="Sylfaen"/>
          <w:b/>
          <w:b/>
          <w:bCs/>
          <w:highlight w:val="lightGray"/>
        </w:rPr>
      </w:pPr>
      <w:r>
        <w:rPr>
          <w:rFonts w:cs="Sylfaen" w:ascii="Sylfaen" w:hAnsi="Sylfaen"/>
          <w:b/>
          <w:bCs/>
          <w:highlight w:val="lightGray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Sylfaen" w:ascii="Sylfaen" w:hAnsi="Sylfaen"/>
          <w:b/>
          <w:bCs/>
          <w:highlight w:val="lightGray"/>
        </w:rPr>
        <w:t xml:space="preserve">COMMUNIQUÉ </w:t>
        <w:tab/>
        <w:tab/>
        <w:tab/>
        <w:tab/>
        <w:tab/>
        <w:tab/>
        <w:t xml:space="preserve">              </w:t>
      </w:r>
      <w:r>
        <w:rPr>
          <w:rFonts w:cs="Sylfaen" w:ascii="Sylfaen" w:hAnsi="Sylfaen"/>
          <w:b w:val="false"/>
          <w:bCs w:val="false"/>
          <w:highlight w:val="lightGray"/>
        </w:rPr>
        <w:t>Breuillet, le 19 novembre 2017</w:t>
      </w:r>
    </w:p>
    <w:p>
      <w:pPr>
        <w:pStyle w:val="Normal"/>
        <w:bidi w:val="0"/>
        <w:spacing w:before="0" w:after="0"/>
        <w:jc w:val="left"/>
        <w:rPr>
          <w:rFonts w:ascii="Sylfaen" w:hAnsi="Sylfaen" w:cs="Sylfaen"/>
          <w:b w:val="false"/>
          <w:b w:val="false"/>
          <w:bCs w:val="false"/>
        </w:rPr>
      </w:pPr>
      <w:r>
        <w:rPr>
          <w:rFonts w:cs="Sylfaen" w:ascii="Sylfaen" w:hAnsi="Sylfaen"/>
          <w:b w:val="false"/>
          <w:bCs w:val="false"/>
        </w:rPr>
      </w:r>
    </w:p>
    <w:p>
      <w:pPr>
        <w:pStyle w:val="Titre1"/>
        <w:numPr>
          <w:ilvl w:val="0"/>
          <w:numId w:val="2"/>
        </w:numPr>
        <w:bidi w:val="0"/>
        <w:spacing w:before="0" w:after="0"/>
        <w:ind w:left="0" w:right="0" w:hanging="0"/>
        <w:jc w:val="center"/>
        <w:rPr/>
      </w:pPr>
      <w:r>
        <w:rPr>
          <w:rFonts w:cs="Sylfaen" w:ascii="Sylfaen" w:hAnsi="Sylfaen"/>
          <w:b/>
          <w:bCs/>
        </w:rPr>
        <w:t xml:space="preserve">1031 </w:t>
      </w:r>
      <w:r>
        <w:rPr>
          <w:rFonts w:cs="Sylfaen" w:ascii="Sylfaen" w:hAnsi="Sylfaen"/>
          <w:b/>
          <w:bCs/>
        </w:rPr>
        <w:t>Photos</w:t>
      </w:r>
      <w:r>
        <w:rPr>
          <w:rFonts w:cs="Sylfaen" w:ascii="Sylfaen" w:hAnsi="Sylfaen"/>
          <w:b/>
          <w:bCs/>
        </w:rPr>
        <w:t xml:space="preserve"> sur la musique</w:t>
      </w:r>
    </w:p>
    <w:p>
      <w:pPr>
        <w:pStyle w:val="Corpsdetexte"/>
        <w:bidi w:val="0"/>
        <w:spacing w:before="0" w:after="0"/>
        <w:jc w:val="center"/>
        <w:rPr/>
      </w:pPr>
      <w:r>
        <w:rPr>
          <w:rFonts w:cs="Sylfaen" w:ascii="Sylfaen" w:hAnsi="Sylfaen"/>
          <w:b/>
          <w:bCs/>
          <w:sz w:val="32"/>
          <w:szCs w:val="32"/>
        </w:rPr>
        <w:t>Jeu Concours</w:t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Titre5"/>
        <w:numPr>
          <w:ilvl w:val="4"/>
          <w:numId w:val="2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À l’occasion du lancement du livre </w:t>
      </w:r>
      <w:hyperlink r:id="rId3">
        <w:r>
          <w:rPr>
            <w:rStyle w:val="Accentuationforte"/>
            <w:rFonts w:cs="Sylfaen" w:ascii="Sylfaen" w:hAnsi="Sylfaen"/>
            <w:b/>
            <w:bCs/>
            <w:i/>
            <w:iCs/>
            <w:color w:val="00000A"/>
            <w:sz w:val="24"/>
            <w:szCs w:val="24"/>
            <w:u w:val="none"/>
          </w:rPr>
          <w:t>1031 citations sur la musique</w:t>
        </w:r>
      </w:hyperlink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de Marc Kowalczyk et Muriel Lamour, préfacé par Eric Serra, les éditions L’octanphare organisent, en partenariat avec Gloria Musica et des librairies musicales françaises un jeu-concours intitulé :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Titre5"/>
        <w:numPr>
          <w:ilvl w:val="4"/>
          <w:numId w:val="2"/>
        </w:numPr>
        <w:bidi w:val="0"/>
        <w:spacing w:lineRule="auto" w:line="240" w:before="0" w:after="0"/>
        <w:ind w:left="0" w:right="0" w:hanging="0"/>
        <w:jc w:val="center"/>
        <w:rPr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Sylfaen" w:ascii="Sylfaen" w:hAnsi="Sylfaen"/>
          <w:b/>
          <w:bCs/>
          <w:i w:val="false"/>
          <w:iCs w:val="false"/>
          <w:color w:val="00000A"/>
          <w:sz w:val="32"/>
          <w:szCs w:val="32"/>
          <w:u w:val="none"/>
        </w:rPr>
        <w:t>1031 Photos sur la musique</w:t>
      </w:r>
    </w:p>
    <w:p>
      <w:pPr>
        <w:pStyle w:val="Corpsdetexte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rFonts w:cs="Sylfaen" w:ascii="Sylfaen" w:hAnsi="Sylfaen"/>
          <w:b/>
          <w:bCs/>
          <w:i w:val="false"/>
          <w:iCs w:val="false"/>
          <w:color w:val="00000A"/>
          <w:sz w:val="24"/>
          <w:szCs w:val="24"/>
          <w:u w:val="none"/>
        </w:rPr>
        <w:t>Du 19 novembre 2017 au 19 janvier 2018</w:t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3221355</wp:posOffset>
            </wp:positionH>
            <wp:positionV relativeFrom="paragraph">
              <wp:posOffset>191770</wp:posOffset>
            </wp:positionV>
            <wp:extent cx="2973070" cy="41859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bidi w:val="0"/>
        <w:spacing w:lineRule="auto" w:line="240" w:before="0" w:after="0"/>
        <w:jc w:val="left"/>
        <w:rPr/>
      </w:pPr>
      <w:r>
        <w:rPr>
          <w:rFonts w:cs="Sylfaen" w:ascii="Sylfaen" w:hAnsi="Sylfaen"/>
          <w:sz w:val="24"/>
          <w:szCs w:val="24"/>
        </w:rPr>
        <w:t xml:space="preserve">Jeu et règlement disponibles sur </w:t>
      </w:r>
      <w:hyperlink r:id="rId5">
        <w:r>
          <w:rPr>
            <w:rStyle w:val="LienInternet"/>
            <w:rFonts w:cs="Sylfaen" w:ascii="Sylfaen" w:hAnsi="Sylfaen"/>
            <w:sz w:val="24"/>
            <w:szCs w:val="24"/>
          </w:rPr>
          <w:t>https://loctanphare.com/jeu</w:t>
        </w:r>
      </w:hyperlink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t xml:space="preserve">– </w:t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b/>
          <w:bCs/>
          <w:i/>
          <w:iCs/>
          <w:sz w:val="24"/>
          <w:szCs w:val="24"/>
        </w:rPr>
        <w:t>1031 citations sur la musique</w:t>
      </w:r>
      <w:r>
        <w:rPr>
          <w:rFonts w:cs="Sylfaen" w:ascii="Sylfaen" w:hAnsi="Sylfaen"/>
          <w:sz w:val="24"/>
          <w:szCs w:val="24"/>
        </w:rPr>
        <w:t xml:space="preserve"> est disponible en commande auprès de votre libraire, dans les Fnac et Espaces culturels E. Leclerc.</w:t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t>Dossier de presse disponible dans l’Espace Presse :</w:t>
      </w:r>
    </w:p>
    <w:p>
      <w:pPr>
        <w:pStyle w:val="Corpsdetexte"/>
        <w:bidi w:val="0"/>
        <w:spacing w:lineRule="auto" w:line="240" w:before="0" w:after="0"/>
        <w:jc w:val="left"/>
        <w:rPr/>
      </w:pPr>
      <w:hyperlink r:id="rId6">
        <w:r>
          <w:rPr>
            <w:rStyle w:val="LienInternet"/>
            <w:rFonts w:cs="Sylfaen" w:ascii="Sylfaen" w:hAnsi="Sylfaen"/>
            <w:sz w:val="24"/>
            <w:szCs w:val="24"/>
          </w:rPr>
          <w:t>https://loctanphare.com/espace-presse</w:t>
        </w:r>
      </w:hyperlink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-10160</wp:posOffset>
            </wp:positionH>
            <wp:positionV relativeFrom="paragraph">
              <wp:posOffset>88265</wp:posOffset>
            </wp:positionV>
            <wp:extent cx="941705" cy="156083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left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>
          <w:rFonts w:ascii="Sylfaen" w:hAnsi="Sylfaen" w:cs="Sylfaen"/>
          <w:b/>
          <w:b/>
          <w:bCs/>
          <w:sz w:val="24"/>
          <w:szCs w:val="24"/>
        </w:rPr>
      </w:pPr>
      <w:r>
        <w:rPr>
          <w:rFonts w:cs="Sylfaen" w:ascii="Sylfaen" w:hAnsi="Sylfaen"/>
          <w:b/>
          <w:bCs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>
          <w:rFonts w:ascii="Sylfaen" w:hAnsi="Sylfaen" w:cs="Sylfaen"/>
          <w:b/>
          <w:b/>
          <w:bCs/>
          <w:sz w:val="24"/>
          <w:szCs w:val="24"/>
        </w:rPr>
      </w:pPr>
      <w:r>
        <w:rPr>
          <w:rFonts w:cs="Sylfaen" w:ascii="Sylfaen" w:hAnsi="Sylfaen"/>
          <w:b/>
          <w:bCs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/>
      </w:pPr>
      <w:r>
        <w:rPr>
          <w:rFonts w:cs="Sylfaen" w:ascii="Sylfaen" w:hAnsi="Sylfaen"/>
          <w:b/>
          <w:bCs/>
          <w:sz w:val="24"/>
          <w:szCs w:val="24"/>
        </w:rPr>
        <w:t xml:space="preserve">Contact Presse : </w:t>
      </w:r>
      <w:r>
        <w:rPr>
          <w:rFonts w:cs="Sylfaen" w:ascii="Sylfaen" w:hAnsi="Sylfaen"/>
          <w:sz w:val="24"/>
          <w:szCs w:val="24"/>
        </w:rPr>
        <w:t xml:space="preserve">Sylvain Kuntzmann  </w:t>
      </w:r>
      <w:hyperlink r:id="rId8">
        <w:r>
          <w:rPr>
            <w:rStyle w:val="LienInternet"/>
            <w:rFonts w:cs="Sylfaen" w:ascii="Sylfaen" w:hAnsi="Sylfaen"/>
            <w:sz w:val="24"/>
            <w:szCs w:val="24"/>
          </w:rPr>
          <w:t>presse@loctanphare.com</w:t>
        </w:r>
      </w:hyperlink>
      <w:r>
        <w:rPr>
          <w:rFonts w:cs="Sylfaen" w:ascii="Sylfaen" w:hAnsi="Sylfaen"/>
          <w:sz w:val="24"/>
          <w:szCs w:val="24"/>
        </w:rPr>
        <w:t xml:space="preserve">  +33(0)6 99 17 39 55</w:t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1134" w:top="1693" w:footer="460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lfae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Georgia" w:hAnsi="Georgia" w:cs="Georgia"/>
        <w:b/>
        <w:b/>
        <w:bCs/>
        <w:i w:val="false"/>
        <w:i w:val="false"/>
        <w:iCs w:val="false"/>
        <w:sz w:val="20"/>
        <w:szCs w:val="20"/>
      </w:rPr>
    </w:pPr>
    <w:r>
      <w:rPr>
        <w:rFonts w:cs="Georgia" w:ascii="Georgia" w:hAnsi="Georgia"/>
        <w:b/>
        <w:bCs/>
        <w:i w:val="false"/>
        <w:iCs w:val="false"/>
        <w:sz w:val="20"/>
        <w:szCs w:val="20"/>
      </w:rPr>
      <w:t>Éditions L'octanphare</w:t>
    </w:r>
  </w:p>
  <w:p>
    <w:pPr>
      <w:pStyle w:val="Pieddepage"/>
      <w:jc w:val="center"/>
      <w:rPr>
        <w:rFonts w:ascii="Georgia" w:hAnsi="Georgia" w:cs="Georgia"/>
        <w:sz w:val="16"/>
        <w:szCs w:val="16"/>
      </w:rPr>
    </w:pPr>
    <w:r>
      <w:rPr>
        <w:rFonts w:cs="Georgia" w:ascii="Georgia" w:hAnsi="Georgia"/>
        <w:sz w:val="16"/>
        <w:szCs w:val="16"/>
      </w:rPr>
      <w:t>9 lot Le Billeau 17920 Breuillet FRANCE | +33(0)5 17 81 07 14 | contact@loctanphare.com | loctanphare.com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rFonts w:ascii="Liberation Serif;Times New Roman" w:hAnsi="Liberation Serif;Times New Roman" w:eastAsia="Arial Unicode MS" w:cs="Arial Unicode MS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;Times New Roman" w:hAnsi="Liberation Serif;Times New Roman" w:eastAsia="Arial Unicode MS" w:cs="Arial Unicode MS"/>
      <w:b/>
      <w:bCs/>
      <w:sz w:val="36"/>
      <w:szCs w:val="36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ind w:left="0" w:right="0" w:hanging="0"/>
      <w:outlineLvl w:val="3"/>
      <w:outlineLvl w:val="3"/>
    </w:pPr>
    <w:rPr>
      <w:rFonts w:ascii="Liberation Serif;Times New Roman" w:hAnsi="Liberation Serif;Times New Roman" w:eastAsia="Arial Unicode MS" w:cs="Arial Unicode MS"/>
      <w:b/>
      <w:bCs/>
      <w:sz w:val="24"/>
      <w:szCs w:val="24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ind w:left="0" w:right="0" w:hanging="0"/>
      <w:outlineLvl w:val="4"/>
      <w:outlineLvl w:val="4"/>
    </w:pPr>
    <w:rPr>
      <w:rFonts w:ascii="Liberation Serif;Times New Roman" w:hAnsi="Liberation Serif;Times New Roman" w:eastAsia="Arial Unicode MS" w:cs="Arial Unicode MS"/>
      <w:b/>
      <w:bCs/>
      <w:sz w:val="20"/>
      <w:szCs w:val="20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Textesource">
    <w:name w:val="Texte source"/>
    <w:qFormat/>
    <w:rPr>
      <w:rFonts w:ascii="Liberation Mono;Courier New" w:hAnsi="Liberation Mono;Courier New" w:eastAsia="Courier New" w:cs="Liberation Mono;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ctanphare.com/produit/1031-citations-sur-la-musique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loctanphare.com/jeu" TargetMode="External"/><Relationship Id="rId6" Type="http://schemas.openxmlformats.org/officeDocument/2006/relationships/hyperlink" Target="https://loctanphare.com/espace-presse" TargetMode="External"/><Relationship Id="rId7" Type="http://schemas.openxmlformats.org/officeDocument/2006/relationships/image" Target="media/image3.jpeg"/><Relationship Id="rId8" Type="http://schemas.openxmlformats.org/officeDocument/2006/relationships/hyperlink" Target="mailto:presse@loctanpha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LibreOffice/5.2.6.2$MacOSX_X86_64 LibreOffice_project/a3100ed2409ebf1c212f5048fbe377c281438fdc</Application>
  <Pages>1</Pages>
  <Words>131</Words>
  <Characters>768</Characters>
  <CharactersWithSpaces>909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2017-07-20T11:25:50Z</dcterms:created>
  <dc:creator/>
  <dc:description/>
  <dc:language>fr-FR</dc:language>
  <cp:lastModifiedBy/>
  <dcterms:modified xsi:type="dcterms:W3CDTF">2017-11-19T14:44:31Z</dcterms:modified>
  <cp:revision>13</cp:revision>
  <dc:subject/>
  <dc:title/>
</cp:coreProperties>
</file>